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3" w:type="dxa"/>
        <w:tblLayout w:type="fixed"/>
        <w:tblCellMar>
          <w:left w:w="0" w:type="dxa"/>
          <w:right w:w="0" w:type="dxa"/>
        </w:tblCellMar>
        <w:tblLook w:val="01E0" w:firstRow="1" w:lastRow="1" w:firstColumn="1" w:lastColumn="1" w:noHBand="0" w:noVBand="0"/>
      </w:tblPr>
      <w:tblGrid>
        <w:gridCol w:w="1957"/>
        <w:gridCol w:w="8323"/>
      </w:tblGrid>
      <w:tr w:rsidR="00D67DBD" w:rsidRPr="00D67DBD" w:rsidTr="00F24FFD">
        <w:trPr>
          <w:trHeight w:val="1245"/>
        </w:trPr>
        <w:tc>
          <w:tcPr>
            <w:tcW w:w="1957" w:type="dxa"/>
            <w:tcBorders>
              <w:bottom w:val="single" w:sz="4" w:space="0" w:color="000000"/>
            </w:tcBorders>
          </w:tcPr>
          <w:p w:rsidR="00D67DBD" w:rsidRPr="00D67DBD" w:rsidRDefault="00D67DBD" w:rsidP="00D67DBD">
            <w:pPr>
              <w:widowControl w:val="0"/>
              <w:autoSpaceDE w:val="0"/>
              <w:autoSpaceDN w:val="0"/>
              <w:ind w:left="387"/>
              <w:rPr>
                <w:rFonts w:eastAsia="Arial" w:hAnsi="Arial" w:cs="Arial"/>
                <w:sz w:val="20"/>
                <w:lang w:bidi="en-US"/>
              </w:rPr>
            </w:pPr>
            <w:bookmarkStart w:id="0" w:name="_GoBack"/>
            <w:bookmarkEnd w:id="0"/>
            <w:r w:rsidRPr="00D67DBD">
              <w:rPr>
                <w:rFonts w:eastAsia="Arial" w:hAnsi="Arial" w:cs="Arial"/>
                <w:noProof/>
                <w:sz w:val="20"/>
                <w:szCs w:val="22"/>
              </w:rPr>
              <w:drawing>
                <wp:inline distT="0" distB="0" distL="0" distR="0" wp14:anchorId="79BB7510" wp14:editId="2786D0C3">
                  <wp:extent cx="8477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a:noFill/>
                          </a:ln>
                        </pic:spPr>
                      </pic:pic>
                    </a:graphicData>
                  </a:graphic>
                </wp:inline>
              </w:drawing>
            </w:r>
          </w:p>
        </w:tc>
        <w:tc>
          <w:tcPr>
            <w:tcW w:w="8323" w:type="dxa"/>
            <w:tcBorders>
              <w:bottom w:val="single" w:sz="4" w:space="0" w:color="000000"/>
            </w:tcBorders>
          </w:tcPr>
          <w:p w:rsidR="00D67DBD" w:rsidRPr="00D67DBD" w:rsidRDefault="00D67DBD" w:rsidP="00D67DBD">
            <w:pPr>
              <w:widowControl w:val="0"/>
              <w:autoSpaceDE w:val="0"/>
              <w:autoSpaceDN w:val="0"/>
              <w:spacing w:before="1"/>
              <w:rPr>
                <w:rFonts w:eastAsia="Arial" w:hAnsi="Arial" w:cs="Arial"/>
                <w:sz w:val="28"/>
                <w:lang w:bidi="en-US"/>
              </w:rPr>
            </w:pPr>
          </w:p>
          <w:p w:rsidR="00D67DBD" w:rsidRPr="00D67DBD" w:rsidRDefault="00D67DBD" w:rsidP="00D67DBD">
            <w:pPr>
              <w:widowControl w:val="0"/>
              <w:autoSpaceDE w:val="0"/>
              <w:autoSpaceDN w:val="0"/>
              <w:ind w:left="234"/>
              <w:rPr>
                <w:rFonts w:ascii="Arial" w:eastAsia="Arial" w:hAnsi="Arial" w:cs="Arial"/>
                <w:b/>
                <w:sz w:val="28"/>
                <w:lang w:bidi="en-US"/>
              </w:rPr>
            </w:pPr>
            <w:r w:rsidRPr="00D67DBD">
              <w:rPr>
                <w:rFonts w:ascii="Arial" w:eastAsia="Arial" w:hAnsi="Arial" w:cs="Arial"/>
                <w:b/>
                <w:color w:val="C00000"/>
                <w:sz w:val="28"/>
                <w:szCs w:val="22"/>
                <w:lang w:bidi="en-US"/>
              </w:rPr>
              <w:t>MAHARASHTRA COSMOPOLITAN EDUCATION SOCIETY</w:t>
            </w:r>
          </w:p>
          <w:p w:rsidR="00D67DBD" w:rsidRPr="00D67DBD" w:rsidRDefault="00D67DBD" w:rsidP="00D67DBD">
            <w:pPr>
              <w:widowControl w:val="0"/>
              <w:autoSpaceDE w:val="0"/>
              <w:autoSpaceDN w:val="0"/>
              <w:spacing w:before="158"/>
              <w:ind w:left="2156" w:right="2034"/>
              <w:jc w:val="center"/>
              <w:rPr>
                <w:rFonts w:ascii="Arial" w:eastAsia="Arial" w:hAnsi="Arial" w:cs="Arial"/>
                <w:b/>
                <w:sz w:val="28"/>
                <w:lang w:bidi="en-US"/>
              </w:rPr>
            </w:pPr>
            <w:r w:rsidRPr="00D67DBD">
              <w:rPr>
                <w:rFonts w:ascii="Arial" w:eastAsia="Arial" w:hAnsi="Arial" w:cs="Arial"/>
                <w:b/>
                <w:sz w:val="28"/>
                <w:szCs w:val="22"/>
                <w:lang w:bidi="en-US"/>
              </w:rPr>
              <w:t>Azam Campus, Pune – 411 001</w:t>
            </w:r>
          </w:p>
        </w:tc>
      </w:tr>
    </w:tbl>
    <w:p w:rsidR="00D67DBD" w:rsidRPr="00D67DBD" w:rsidRDefault="00D67DBD" w:rsidP="00D67DBD">
      <w:pPr>
        <w:spacing w:after="200" w:line="276" w:lineRule="auto"/>
        <w:rPr>
          <w:rFonts w:ascii="Calibri" w:eastAsia="Calibri" w:hAnsi="Calibri"/>
          <w:sz w:val="40"/>
        </w:rPr>
      </w:pPr>
    </w:p>
    <w:p w:rsidR="00D67DBD" w:rsidRPr="00D67DBD" w:rsidRDefault="00D67DBD" w:rsidP="00D67DBD">
      <w:pPr>
        <w:spacing w:after="200" w:line="276" w:lineRule="auto"/>
        <w:rPr>
          <w:rFonts w:ascii="Calibri" w:eastAsia="Calibri" w:hAnsi="Calibri"/>
          <w:sz w:val="40"/>
        </w:rPr>
      </w:pPr>
      <w:r w:rsidRPr="00D67DBD">
        <w:rPr>
          <w:rFonts w:ascii="Calibri" w:eastAsia="Calibri" w:hAnsi="Calibri"/>
          <w:sz w:val="40"/>
        </w:rPr>
        <w:t xml:space="preserve">E-Content Description </w:t>
      </w:r>
    </w:p>
    <w:p w:rsidR="00D67DBD" w:rsidRPr="00D67DBD" w:rsidRDefault="00D67DBD" w:rsidP="00D67DBD">
      <w:pPr>
        <w:spacing w:after="200" w:line="276" w:lineRule="auto"/>
        <w:rPr>
          <w:rFonts w:ascii="Calibri" w:eastAsia="Calibri" w:hAnsi="Calibri"/>
          <w:sz w:val="40"/>
        </w:rPr>
      </w:pPr>
      <w:r w:rsidRPr="00D67DBD">
        <w:rPr>
          <w:rFonts w:ascii="Calibri" w:eastAsia="Calibri" w:hAnsi="Calibri"/>
          <w:sz w:val="40"/>
        </w:rPr>
        <w:t>Name of School / College: M A Rangoonwala Institute of Hotel Management and Research</w:t>
      </w:r>
    </w:p>
    <w:tbl>
      <w:tblPr>
        <w:tblStyle w:val="TableGrid1"/>
        <w:tblW w:w="9918" w:type="dxa"/>
        <w:tblLook w:val="04A0" w:firstRow="1" w:lastRow="0" w:firstColumn="1" w:lastColumn="0" w:noHBand="0" w:noVBand="1"/>
      </w:tblPr>
      <w:tblGrid>
        <w:gridCol w:w="4878"/>
        <w:gridCol w:w="5040"/>
      </w:tblGrid>
      <w:tr w:rsidR="00D67DBD" w:rsidRPr="00D67DBD" w:rsidTr="00F24FFD">
        <w:tc>
          <w:tcPr>
            <w:tcW w:w="4878" w:type="dxa"/>
          </w:tcPr>
          <w:p w:rsidR="00D67DBD" w:rsidRPr="00D67DBD" w:rsidRDefault="00D67DBD" w:rsidP="00D67DBD">
            <w:pPr>
              <w:rPr>
                <w:rFonts w:ascii="Calibri" w:eastAsia="Calibri" w:hAnsi="Calibri"/>
                <w:sz w:val="40"/>
              </w:rPr>
            </w:pPr>
            <w:r w:rsidRPr="00D67DBD">
              <w:rPr>
                <w:rFonts w:ascii="Calibri" w:eastAsia="Calibri" w:hAnsi="Calibri"/>
                <w:sz w:val="40"/>
              </w:rPr>
              <w:t>Name and Designation of content creator /Producer</w:t>
            </w:r>
          </w:p>
        </w:tc>
        <w:tc>
          <w:tcPr>
            <w:tcW w:w="5040" w:type="dxa"/>
          </w:tcPr>
          <w:p w:rsidR="00D67DBD" w:rsidRPr="00D67DBD" w:rsidRDefault="00D67DBD" w:rsidP="00D67DBD">
            <w:pPr>
              <w:rPr>
                <w:rFonts w:ascii="Calibri" w:eastAsia="Calibri" w:hAnsi="Calibri"/>
                <w:sz w:val="40"/>
              </w:rPr>
            </w:pPr>
            <w:r w:rsidRPr="00D67DBD">
              <w:rPr>
                <w:rFonts w:ascii="Calibri" w:eastAsia="Calibri" w:hAnsi="Calibri"/>
                <w:sz w:val="40"/>
              </w:rPr>
              <w:t>Assoc. Prof Imran Sayyed</w:t>
            </w:r>
          </w:p>
        </w:tc>
      </w:tr>
      <w:tr w:rsidR="00D67DBD" w:rsidRPr="00D67DBD" w:rsidTr="00F24FFD">
        <w:tc>
          <w:tcPr>
            <w:tcW w:w="4878" w:type="dxa"/>
          </w:tcPr>
          <w:p w:rsidR="00D67DBD" w:rsidRPr="00D67DBD" w:rsidRDefault="00D67DBD" w:rsidP="00D67DBD">
            <w:pPr>
              <w:rPr>
                <w:rFonts w:ascii="Calibri" w:eastAsia="Calibri" w:hAnsi="Calibri"/>
                <w:sz w:val="40"/>
              </w:rPr>
            </w:pPr>
            <w:r w:rsidRPr="00D67DBD">
              <w:rPr>
                <w:rFonts w:ascii="Calibri" w:eastAsia="Calibri" w:hAnsi="Calibri"/>
                <w:sz w:val="40"/>
              </w:rPr>
              <w:t xml:space="preserve">Title of E content </w:t>
            </w:r>
          </w:p>
        </w:tc>
        <w:tc>
          <w:tcPr>
            <w:tcW w:w="5040" w:type="dxa"/>
          </w:tcPr>
          <w:p w:rsidR="00D67DBD" w:rsidRPr="00D67DBD" w:rsidRDefault="00D67DBD" w:rsidP="00D67DBD">
            <w:pPr>
              <w:rPr>
                <w:rFonts w:ascii="Calibri" w:eastAsia="Calibri" w:hAnsi="Calibri"/>
                <w:sz w:val="44"/>
                <w:szCs w:val="44"/>
              </w:rPr>
            </w:pPr>
            <w:r w:rsidRPr="00D67DBD">
              <w:rPr>
                <w:rFonts w:ascii="Calibri" w:eastAsia="Calibri" w:hAnsi="Calibri"/>
                <w:sz w:val="44"/>
                <w:szCs w:val="44"/>
              </w:rPr>
              <w:t>Types of Contracts</w:t>
            </w:r>
          </w:p>
        </w:tc>
      </w:tr>
      <w:tr w:rsidR="00D67DBD" w:rsidRPr="00D67DBD" w:rsidTr="00F24FFD">
        <w:tc>
          <w:tcPr>
            <w:tcW w:w="4878" w:type="dxa"/>
          </w:tcPr>
          <w:p w:rsidR="00D67DBD" w:rsidRPr="00D67DBD" w:rsidRDefault="00D67DBD" w:rsidP="00D67DBD">
            <w:pPr>
              <w:rPr>
                <w:rFonts w:ascii="Calibri" w:eastAsia="Calibri" w:hAnsi="Calibri"/>
                <w:sz w:val="40"/>
              </w:rPr>
            </w:pPr>
            <w:r w:rsidRPr="00D67DBD">
              <w:rPr>
                <w:rFonts w:ascii="Calibri" w:eastAsia="Calibri" w:hAnsi="Calibri"/>
                <w:sz w:val="40"/>
              </w:rPr>
              <w:t>Theory/practical</w:t>
            </w:r>
          </w:p>
        </w:tc>
        <w:tc>
          <w:tcPr>
            <w:tcW w:w="5040" w:type="dxa"/>
          </w:tcPr>
          <w:p w:rsidR="00D67DBD" w:rsidRPr="00D67DBD" w:rsidRDefault="00D67DBD" w:rsidP="00D67DBD">
            <w:pPr>
              <w:rPr>
                <w:rFonts w:ascii="Calibri" w:eastAsia="Calibri" w:hAnsi="Calibri"/>
                <w:sz w:val="40"/>
              </w:rPr>
            </w:pPr>
            <w:r w:rsidRPr="00D67DBD">
              <w:rPr>
                <w:rFonts w:ascii="Calibri" w:eastAsia="Calibri" w:hAnsi="Calibri"/>
                <w:sz w:val="40"/>
              </w:rPr>
              <w:t>Theory</w:t>
            </w:r>
          </w:p>
        </w:tc>
      </w:tr>
      <w:tr w:rsidR="00D67DBD" w:rsidRPr="00D67DBD" w:rsidTr="00F24FFD">
        <w:tc>
          <w:tcPr>
            <w:tcW w:w="4878" w:type="dxa"/>
          </w:tcPr>
          <w:p w:rsidR="00D67DBD" w:rsidRPr="00D67DBD" w:rsidRDefault="00D67DBD" w:rsidP="00D67DBD">
            <w:pPr>
              <w:rPr>
                <w:rFonts w:ascii="Calibri" w:eastAsia="Calibri" w:hAnsi="Calibri"/>
                <w:sz w:val="40"/>
              </w:rPr>
            </w:pPr>
            <w:r w:rsidRPr="00D67DBD">
              <w:rPr>
                <w:rFonts w:ascii="Calibri" w:eastAsia="Calibri" w:hAnsi="Calibri"/>
                <w:sz w:val="40"/>
              </w:rPr>
              <w:t xml:space="preserve">Title and No of Module </w:t>
            </w:r>
          </w:p>
        </w:tc>
        <w:tc>
          <w:tcPr>
            <w:tcW w:w="5040" w:type="dxa"/>
          </w:tcPr>
          <w:p w:rsidR="00D67DBD" w:rsidRPr="00D67DBD" w:rsidRDefault="00D67DBD" w:rsidP="00D67DBD">
            <w:pPr>
              <w:rPr>
                <w:rFonts w:ascii="Calibri" w:eastAsia="Calibri" w:hAnsi="Calibri"/>
                <w:sz w:val="44"/>
                <w:szCs w:val="44"/>
              </w:rPr>
            </w:pPr>
            <w:r w:rsidRPr="00D67DBD">
              <w:rPr>
                <w:rFonts w:ascii="Calibri" w:eastAsia="Calibri" w:hAnsi="Calibri"/>
                <w:sz w:val="44"/>
                <w:szCs w:val="44"/>
              </w:rPr>
              <w:t>Types of Contracts</w:t>
            </w:r>
          </w:p>
        </w:tc>
      </w:tr>
      <w:tr w:rsidR="00D67DBD" w:rsidRPr="00D67DBD" w:rsidTr="00F24FFD">
        <w:tc>
          <w:tcPr>
            <w:tcW w:w="4878" w:type="dxa"/>
          </w:tcPr>
          <w:p w:rsidR="00D67DBD" w:rsidRPr="00D67DBD" w:rsidRDefault="00D67DBD" w:rsidP="00D67DBD">
            <w:pPr>
              <w:rPr>
                <w:rFonts w:ascii="Calibri" w:eastAsia="Calibri" w:hAnsi="Calibri"/>
                <w:sz w:val="40"/>
              </w:rPr>
            </w:pPr>
            <w:r w:rsidRPr="00D67DBD">
              <w:rPr>
                <w:rFonts w:ascii="Calibri" w:eastAsia="Calibri" w:hAnsi="Calibri"/>
                <w:sz w:val="40"/>
              </w:rPr>
              <w:t xml:space="preserve">Title and code of Paper </w:t>
            </w:r>
          </w:p>
        </w:tc>
        <w:tc>
          <w:tcPr>
            <w:tcW w:w="5040" w:type="dxa"/>
          </w:tcPr>
          <w:p w:rsidR="00D67DBD" w:rsidRPr="00D67DBD" w:rsidRDefault="00D67DBD" w:rsidP="00D67DBD">
            <w:pPr>
              <w:rPr>
                <w:rFonts w:ascii="Calibri" w:eastAsia="Calibri" w:hAnsi="Calibri" w:cs="Calibri"/>
                <w:sz w:val="40"/>
              </w:rPr>
            </w:pPr>
            <w:r w:rsidRPr="00D67DBD">
              <w:rPr>
                <w:rFonts w:ascii="Calibri" w:eastAsia="Calibri" w:hAnsi="Calibri" w:cs="Calibri"/>
                <w:sz w:val="40"/>
              </w:rPr>
              <w:t>The Science of Hotel Engineering</w:t>
            </w:r>
          </w:p>
          <w:p w:rsidR="00D67DBD" w:rsidRPr="00D67DBD" w:rsidRDefault="00D67DBD" w:rsidP="00D67DBD">
            <w:pPr>
              <w:rPr>
                <w:rFonts w:ascii="Calibri" w:eastAsia="Calibri" w:hAnsi="Calibri" w:cs="Calibri"/>
                <w:sz w:val="40"/>
              </w:rPr>
            </w:pPr>
            <w:r w:rsidRPr="00D67DBD">
              <w:rPr>
                <w:rFonts w:ascii="Calibri" w:eastAsia="Calibri" w:hAnsi="Calibri" w:cs="Calibri"/>
                <w:sz w:val="40"/>
              </w:rPr>
              <w:t>Subject Code : HS 206</w:t>
            </w:r>
          </w:p>
        </w:tc>
      </w:tr>
      <w:tr w:rsidR="00D67DBD" w:rsidRPr="00D67DBD" w:rsidTr="00F24FFD">
        <w:tc>
          <w:tcPr>
            <w:tcW w:w="4878" w:type="dxa"/>
          </w:tcPr>
          <w:p w:rsidR="00D67DBD" w:rsidRPr="00D67DBD" w:rsidRDefault="00D67DBD" w:rsidP="00D67DBD">
            <w:pPr>
              <w:rPr>
                <w:rFonts w:ascii="Calibri" w:eastAsia="Calibri" w:hAnsi="Calibri"/>
                <w:sz w:val="40"/>
              </w:rPr>
            </w:pPr>
            <w:r w:rsidRPr="00D67DBD">
              <w:rPr>
                <w:rFonts w:ascii="Calibri" w:eastAsia="Calibri" w:hAnsi="Calibri"/>
                <w:sz w:val="40"/>
              </w:rPr>
              <w:t>Broad Subject</w:t>
            </w:r>
          </w:p>
        </w:tc>
        <w:tc>
          <w:tcPr>
            <w:tcW w:w="5040" w:type="dxa"/>
          </w:tcPr>
          <w:p w:rsidR="00D67DBD" w:rsidRPr="00D67DBD" w:rsidRDefault="00D67DBD" w:rsidP="00D67DBD">
            <w:pPr>
              <w:rPr>
                <w:rFonts w:ascii="Calibri" w:eastAsia="Calibri" w:hAnsi="Calibri"/>
                <w:sz w:val="40"/>
              </w:rPr>
            </w:pPr>
            <w:r w:rsidRPr="00D67DBD">
              <w:rPr>
                <w:rFonts w:ascii="Calibri" w:eastAsia="Calibri" w:hAnsi="Calibri"/>
                <w:sz w:val="40"/>
              </w:rPr>
              <w:t>Hotel Engineering</w:t>
            </w:r>
          </w:p>
        </w:tc>
      </w:tr>
      <w:tr w:rsidR="00D67DBD" w:rsidRPr="00D67DBD" w:rsidTr="00F24FFD">
        <w:tc>
          <w:tcPr>
            <w:tcW w:w="4878" w:type="dxa"/>
          </w:tcPr>
          <w:p w:rsidR="00D67DBD" w:rsidRPr="00D67DBD" w:rsidRDefault="00D67DBD" w:rsidP="00D67DBD">
            <w:pPr>
              <w:rPr>
                <w:rFonts w:ascii="Calibri" w:eastAsia="Calibri" w:hAnsi="Calibri"/>
                <w:sz w:val="40"/>
              </w:rPr>
            </w:pPr>
            <w:r w:rsidRPr="00D67DBD">
              <w:rPr>
                <w:rFonts w:ascii="Calibri" w:eastAsia="Calibri" w:hAnsi="Calibri"/>
                <w:sz w:val="40"/>
              </w:rPr>
              <w:t>Course</w:t>
            </w:r>
          </w:p>
        </w:tc>
        <w:tc>
          <w:tcPr>
            <w:tcW w:w="5040" w:type="dxa"/>
          </w:tcPr>
          <w:p w:rsidR="00D67DBD" w:rsidRPr="00D67DBD" w:rsidRDefault="00D67DBD" w:rsidP="00D67DBD">
            <w:pPr>
              <w:rPr>
                <w:rFonts w:ascii="Calibri" w:eastAsia="Calibri" w:hAnsi="Calibri"/>
                <w:sz w:val="40"/>
              </w:rPr>
            </w:pPr>
            <w:r w:rsidRPr="00D67DBD">
              <w:rPr>
                <w:rFonts w:ascii="Calibri" w:eastAsia="Calibri" w:hAnsi="Calibri"/>
                <w:sz w:val="40"/>
              </w:rPr>
              <w:t>BScHS</w:t>
            </w:r>
          </w:p>
        </w:tc>
      </w:tr>
      <w:tr w:rsidR="00D67DBD" w:rsidRPr="00D67DBD" w:rsidTr="00F24FFD">
        <w:tc>
          <w:tcPr>
            <w:tcW w:w="4878" w:type="dxa"/>
          </w:tcPr>
          <w:p w:rsidR="00D67DBD" w:rsidRPr="00D67DBD" w:rsidRDefault="00D67DBD" w:rsidP="00D67DBD">
            <w:pPr>
              <w:rPr>
                <w:rFonts w:ascii="Calibri" w:eastAsia="Calibri" w:hAnsi="Calibri"/>
                <w:sz w:val="40"/>
              </w:rPr>
            </w:pPr>
            <w:r w:rsidRPr="00D67DBD">
              <w:rPr>
                <w:rFonts w:ascii="Calibri" w:eastAsia="Calibri" w:hAnsi="Calibri"/>
                <w:sz w:val="40"/>
              </w:rPr>
              <w:t>Class</w:t>
            </w:r>
          </w:p>
        </w:tc>
        <w:tc>
          <w:tcPr>
            <w:tcW w:w="5040" w:type="dxa"/>
          </w:tcPr>
          <w:p w:rsidR="00D67DBD" w:rsidRPr="00D67DBD" w:rsidRDefault="00D67DBD" w:rsidP="00D67DBD">
            <w:pPr>
              <w:rPr>
                <w:rFonts w:ascii="Calibri" w:eastAsia="Calibri" w:hAnsi="Calibri"/>
                <w:sz w:val="40"/>
              </w:rPr>
            </w:pPr>
            <w:r w:rsidRPr="00D67DBD">
              <w:rPr>
                <w:rFonts w:ascii="Calibri" w:eastAsia="Calibri" w:hAnsi="Calibri"/>
                <w:sz w:val="40"/>
              </w:rPr>
              <w:t xml:space="preserve">SY </w:t>
            </w:r>
          </w:p>
        </w:tc>
      </w:tr>
      <w:tr w:rsidR="00D67DBD" w:rsidRPr="00D67DBD" w:rsidTr="00F24FFD">
        <w:tc>
          <w:tcPr>
            <w:tcW w:w="4878" w:type="dxa"/>
          </w:tcPr>
          <w:p w:rsidR="00D67DBD" w:rsidRPr="00D67DBD" w:rsidRDefault="00D67DBD" w:rsidP="00D67DBD">
            <w:pPr>
              <w:rPr>
                <w:rFonts w:ascii="Calibri" w:eastAsia="Calibri" w:hAnsi="Calibri"/>
                <w:sz w:val="40"/>
              </w:rPr>
            </w:pPr>
            <w:r w:rsidRPr="00D67DBD">
              <w:rPr>
                <w:rFonts w:ascii="Calibri" w:eastAsia="Calibri" w:hAnsi="Calibri"/>
                <w:sz w:val="40"/>
              </w:rPr>
              <w:t>Semester</w:t>
            </w:r>
          </w:p>
        </w:tc>
        <w:tc>
          <w:tcPr>
            <w:tcW w:w="5040" w:type="dxa"/>
          </w:tcPr>
          <w:p w:rsidR="00D67DBD" w:rsidRPr="00D67DBD" w:rsidRDefault="00D67DBD" w:rsidP="00D67DBD">
            <w:pPr>
              <w:rPr>
                <w:rFonts w:ascii="Calibri" w:eastAsia="Calibri" w:hAnsi="Calibri"/>
                <w:sz w:val="40"/>
              </w:rPr>
            </w:pPr>
            <w:r w:rsidRPr="00D67DBD">
              <w:rPr>
                <w:rFonts w:ascii="Calibri" w:eastAsia="Calibri" w:hAnsi="Calibri"/>
                <w:sz w:val="40"/>
              </w:rPr>
              <w:t xml:space="preserve">Third Semester </w:t>
            </w:r>
          </w:p>
        </w:tc>
      </w:tr>
      <w:tr w:rsidR="00D67DBD" w:rsidRPr="00D67DBD" w:rsidTr="00F24FFD">
        <w:tc>
          <w:tcPr>
            <w:tcW w:w="4878" w:type="dxa"/>
          </w:tcPr>
          <w:p w:rsidR="00D67DBD" w:rsidRPr="00D67DBD" w:rsidRDefault="00D67DBD" w:rsidP="00D67DBD">
            <w:pPr>
              <w:rPr>
                <w:rFonts w:ascii="Calibri" w:eastAsia="Calibri" w:hAnsi="Calibri"/>
                <w:sz w:val="40"/>
              </w:rPr>
            </w:pPr>
            <w:r w:rsidRPr="00D67DBD">
              <w:rPr>
                <w:rFonts w:ascii="Calibri" w:eastAsia="Calibri" w:hAnsi="Calibri"/>
                <w:sz w:val="40"/>
              </w:rPr>
              <w:t>University /Board</w:t>
            </w:r>
          </w:p>
        </w:tc>
        <w:tc>
          <w:tcPr>
            <w:tcW w:w="5040" w:type="dxa"/>
          </w:tcPr>
          <w:p w:rsidR="00D67DBD" w:rsidRPr="00D67DBD" w:rsidRDefault="00D67DBD" w:rsidP="00D67DBD">
            <w:pPr>
              <w:rPr>
                <w:rFonts w:ascii="Calibri" w:eastAsia="Calibri" w:hAnsi="Calibri"/>
                <w:sz w:val="40"/>
              </w:rPr>
            </w:pPr>
            <w:r w:rsidRPr="00D67DBD">
              <w:rPr>
                <w:rFonts w:ascii="Calibri" w:eastAsia="Calibri" w:hAnsi="Calibri"/>
                <w:sz w:val="40"/>
              </w:rPr>
              <w:t>SPPU</w:t>
            </w:r>
          </w:p>
        </w:tc>
      </w:tr>
      <w:tr w:rsidR="00D67DBD" w:rsidRPr="00D67DBD" w:rsidTr="00F24FFD">
        <w:tc>
          <w:tcPr>
            <w:tcW w:w="4878" w:type="dxa"/>
          </w:tcPr>
          <w:p w:rsidR="00D67DBD" w:rsidRPr="00D67DBD" w:rsidRDefault="00D67DBD" w:rsidP="00D67DBD">
            <w:pPr>
              <w:rPr>
                <w:rFonts w:ascii="Calibri" w:eastAsia="Calibri" w:hAnsi="Calibri"/>
                <w:sz w:val="40"/>
              </w:rPr>
            </w:pPr>
            <w:r w:rsidRPr="00D67DBD">
              <w:rPr>
                <w:rFonts w:ascii="Calibri" w:eastAsia="Calibri" w:hAnsi="Calibri"/>
                <w:sz w:val="40"/>
              </w:rPr>
              <w:t>Date of Content Creation</w:t>
            </w:r>
          </w:p>
        </w:tc>
        <w:tc>
          <w:tcPr>
            <w:tcW w:w="5040" w:type="dxa"/>
          </w:tcPr>
          <w:p w:rsidR="00D67DBD" w:rsidRPr="00D67DBD" w:rsidRDefault="00D67DBD" w:rsidP="00D67DBD">
            <w:pPr>
              <w:rPr>
                <w:rFonts w:ascii="Calibri" w:eastAsia="Calibri" w:hAnsi="Calibri"/>
                <w:sz w:val="40"/>
              </w:rPr>
            </w:pPr>
            <w:r w:rsidRPr="00D67DBD">
              <w:rPr>
                <w:rFonts w:ascii="Calibri" w:eastAsia="Calibri" w:hAnsi="Calibri"/>
                <w:sz w:val="40"/>
              </w:rPr>
              <w:t xml:space="preserve"> </w:t>
            </w:r>
            <w:r>
              <w:rPr>
                <w:rFonts w:ascii="Calibri" w:eastAsia="Calibri" w:hAnsi="Calibri"/>
                <w:sz w:val="40"/>
              </w:rPr>
              <w:t>6</w:t>
            </w:r>
            <w:r w:rsidRPr="00D67DBD">
              <w:rPr>
                <w:rFonts w:ascii="Calibri" w:eastAsia="Calibri" w:hAnsi="Calibri"/>
                <w:sz w:val="40"/>
              </w:rPr>
              <w:t xml:space="preserve"> Jan 2020</w:t>
            </w:r>
          </w:p>
        </w:tc>
      </w:tr>
      <w:tr w:rsidR="00D67DBD" w:rsidRPr="00D67DBD" w:rsidTr="00F24FFD">
        <w:tc>
          <w:tcPr>
            <w:tcW w:w="4878" w:type="dxa"/>
          </w:tcPr>
          <w:p w:rsidR="00D67DBD" w:rsidRPr="00D67DBD" w:rsidRDefault="00D67DBD" w:rsidP="00D67DBD">
            <w:pPr>
              <w:rPr>
                <w:rFonts w:ascii="Calibri" w:eastAsia="Calibri" w:hAnsi="Calibri"/>
                <w:sz w:val="40"/>
              </w:rPr>
            </w:pPr>
            <w:r w:rsidRPr="00D67DBD">
              <w:rPr>
                <w:rFonts w:ascii="Calibri" w:eastAsia="Calibri" w:hAnsi="Calibri"/>
                <w:sz w:val="40"/>
              </w:rPr>
              <w:t>Name of Reviewer</w:t>
            </w:r>
          </w:p>
          <w:p w:rsidR="00D67DBD" w:rsidRPr="00D67DBD" w:rsidRDefault="00D67DBD" w:rsidP="00D67DBD">
            <w:pPr>
              <w:rPr>
                <w:rFonts w:ascii="Calibri" w:eastAsia="Calibri" w:hAnsi="Calibri"/>
                <w:sz w:val="40"/>
              </w:rPr>
            </w:pPr>
            <w:r w:rsidRPr="00D67DBD">
              <w:rPr>
                <w:rFonts w:ascii="Calibri" w:eastAsia="Calibri" w:hAnsi="Calibri"/>
                <w:sz w:val="40"/>
              </w:rPr>
              <w:t>HOD/Principal</w:t>
            </w:r>
          </w:p>
        </w:tc>
        <w:tc>
          <w:tcPr>
            <w:tcW w:w="5040" w:type="dxa"/>
          </w:tcPr>
          <w:p w:rsidR="00D67DBD" w:rsidRPr="00D67DBD" w:rsidRDefault="00D67DBD" w:rsidP="00D67DBD">
            <w:pPr>
              <w:rPr>
                <w:rFonts w:ascii="Calibri" w:eastAsia="Calibri" w:hAnsi="Calibri"/>
                <w:sz w:val="40"/>
              </w:rPr>
            </w:pPr>
            <w:r w:rsidRPr="00D67DBD">
              <w:rPr>
                <w:rFonts w:ascii="Calibri" w:eastAsia="Calibri" w:hAnsi="Calibri"/>
                <w:sz w:val="40"/>
              </w:rPr>
              <w:t>Imran Sayyed</w:t>
            </w:r>
          </w:p>
        </w:tc>
      </w:tr>
    </w:tbl>
    <w:p w:rsidR="00D67DBD" w:rsidRDefault="00D67DBD" w:rsidP="00B90289">
      <w:pPr>
        <w:pStyle w:val="Heading2"/>
      </w:pPr>
    </w:p>
    <w:p w:rsidR="00B90289" w:rsidRDefault="00B90289" w:rsidP="00B90289">
      <w:pPr>
        <w:pStyle w:val="Heading2"/>
      </w:pPr>
      <w:r>
        <w:lastRenderedPageBreak/>
        <w:t>Types of Contracts</w:t>
      </w:r>
    </w:p>
    <w:p w:rsidR="00B90289" w:rsidRDefault="00240D75" w:rsidP="00B90289">
      <w:r>
        <w:pict>
          <v:rect id="_x0000_i1025" style="width:6in;height:1.5pt" o:hralign="center" o:hrstd="t" o:hr="t" fillcolor="#a7a6aa" stroked="f"/>
        </w:pict>
      </w:r>
    </w:p>
    <w:p w:rsidR="00B90289" w:rsidRDefault="00B90289" w:rsidP="00B90289"/>
    <w:p w:rsidR="00B90289" w:rsidRDefault="00B90289" w:rsidP="00B90289">
      <w:pPr>
        <w:pStyle w:val="small"/>
      </w:pPr>
      <w:r>
        <w:t xml:space="preserve">Choosing type appropriate contract type is essential to successful performance under a contract. The type of contract determines the cost and performance risks which are placed on the contractor. There are two broad contract groups--fixed price and cost reimbursement. Within each of these groups, there are various types of contracts which can be used individually or in combination. </w:t>
      </w:r>
    </w:p>
    <w:p w:rsidR="00B90289" w:rsidRDefault="00240D75" w:rsidP="00B90289">
      <w:r>
        <w:pict>
          <v:rect id="_x0000_i1026" style="width:6in;height:1.5pt" o:hralign="center" o:hrstd="t" o:hr="t" fillcolor="#a7a6aa" stroked="f"/>
        </w:pict>
      </w:r>
    </w:p>
    <w:p w:rsidR="00B90289" w:rsidRDefault="00B90289" w:rsidP="00B90289">
      <w:pPr>
        <w:pStyle w:val="a508"/>
      </w:pPr>
      <w:r>
        <w:t>Firm Fixed Price Contracts</w:t>
      </w:r>
    </w:p>
    <w:p w:rsidR="00B90289" w:rsidRDefault="00240D75" w:rsidP="00B90289">
      <w:r>
        <w:pict>
          <v:rect id="_x0000_i1027" style="width:6in;height:1.5pt" o:hralign="center" o:hrstd="t" o:hr="t" fillcolor="#a7a6aa" stroked="f"/>
        </w:pict>
      </w:r>
    </w:p>
    <w:p w:rsidR="00B90289" w:rsidRDefault="00B90289" w:rsidP="00B90289">
      <w:pPr>
        <w:pStyle w:val="small"/>
      </w:pPr>
      <w:r>
        <w:t>This type of contract requires the contractor to successfully perform the contract and deliver conforming supplies or services for a price agreed to up front. This type of contract places the most performance and cost risk paid. It if costs them more than they expected, they still get the amount originally agreed upon. If it costs them less, they make more profit. A firm-fixed price contract is suitable for supplies and services that can be described in sufficient detail to ensure complete understanding of the requirements by both parties and assessment of the inherent risks of performance.</w:t>
      </w:r>
    </w:p>
    <w:p w:rsidR="00B90289" w:rsidRDefault="00240D75" w:rsidP="00B90289">
      <w:r>
        <w:pict>
          <v:rect id="_x0000_i1028" style="width:6in;height:1.5pt" o:hralign="center" o:hrstd="t" o:hr="t" fillcolor="#a7a6aa" stroked="f"/>
        </w:pict>
      </w:r>
    </w:p>
    <w:p w:rsidR="00B90289" w:rsidRDefault="00B90289" w:rsidP="00B90289">
      <w:pPr>
        <w:pStyle w:val="a508"/>
      </w:pPr>
      <w:r>
        <w:t>Other Fixed Fixed Price Contracts</w:t>
      </w:r>
    </w:p>
    <w:p w:rsidR="00B90289" w:rsidRDefault="00240D75" w:rsidP="00B90289">
      <w:r>
        <w:pict>
          <v:rect id="_x0000_i1029" style="width:6in;height:1.5pt" o:hralign="center" o:hrstd="t" o:hr="t" fillcolor="#a7a6aa" stroked="f"/>
        </w:pict>
      </w:r>
    </w:p>
    <w:p w:rsidR="00B90289" w:rsidRDefault="00B90289" w:rsidP="00B90289">
      <w:pPr>
        <w:pStyle w:val="small"/>
      </w:pPr>
      <w:r>
        <w:t>Within the fixed price contract group you can award contracts with:</w:t>
      </w:r>
    </w:p>
    <w:p w:rsidR="00B90289" w:rsidRDefault="00B90289" w:rsidP="00B90289">
      <w:pPr>
        <w:numPr>
          <w:ilvl w:val="0"/>
          <w:numId w:val="1"/>
        </w:numPr>
        <w:spacing w:before="100" w:beforeAutospacing="1" w:after="100" w:afterAutospacing="1"/>
      </w:pPr>
      <w:r>
        <w:t>economic price adjustment factors to allow for industries where costs fluctuate frequently either up or down</w:t>
      </w:r>
    </w:p>
    <w:p w:rsidR="00B90289" w:rsidRDefault="00B90289" w:rsidP="00B90289">
      <w:pPr>
        <w:numPr>
          <w:ilvl w:val="0"/>
          <w:numId w:val="1"/>
        </w:numPr>
        <w:spacing w:before="100" w:beforeAutospacing="1" w:after="100" w:afterAutospacing="1"/>
      </w:pPr>
      <w:r>
        <w:t>various incentive types which can be used to reward good performance or to impose provisions to deduct for poor performance</w:t>
      </w:r>
    </w:p>
    <w:p w:rsidR="00B90289" w:rsidRDefault="00B90289" w:rsidP="00B90289">
      <w:pPr>
        <w:numPr>
          <w:ilvl w:val="0"/>
          <w:numId w:val="1"/>
        </w:numPr>
        <w:spacing w:before="100" w:beforeAutospacing="1" w:after="100" w:afterAutospacing="1"/>
      </w:pPr>
      <w:r>
        <w:t>price redetermination provisions which permit issuing an order on a fixed price basis and allow for revisiting the reasonableless of that pricing later during the contract performance</w:t>
      </w:r>
    </w:p>
    <w:p w:rsidR="00B90289" w:rsidRDefault="00B90289" w:rsidP="00B90289">
      <w:pPr>
        <w:numPr>
          <w:ilvl w:val="0"/>
          <w:numId w:val="1"/>
        </w:numPr>
        <w:spacing w:before="100" w:beforeAutospacing="1" w:after="100" w:afterAutospacing="1"/>
      </w:pPr>
      <w:r>
        <w:t>a specified level of effort</w:t>
      </w:r>
    </w:p>
    <w:p w:rsidR="00B90289" w:rsidRDefault="00240D75" w:rsidP="00B90289">
      <w:r>
        <w:pict>
          <v:rect id="_x0000_i1030" style="width:0;height:1.5pt" o:hralign="center" o:hrstd="t" o:hr="t" fillcolor="#a7a6aa" stroked="f"/>
        </w:pict>
      </w:r>
    </w:p>
    <w:p w:rsidR="00B90289" w:rsidRDefault="00B90289" w:rsidP="00B90289">
      <w:pPr>
        <w:pStyle w:val="a508"/>
      </w:pPr>
      <w:r>
        <w:t>Cost Reimbursement Contracts</w:t>
      </w:r>
    </w:p>
    <w:p w:rsidR="00B90289" w:rsidRDefault="00240D75" w:rsidP="00B90289">
      <w:r>
        <w:lastRenderedPageBreak/>
        <w:pict>
          <v:rect id="_x0000_i1031" style="width:6in;height:1.5pt" o:hralign="center" o:hrstd="t" o:hr="t" fillcolor="#a7a6aa" stroked="f"/>
        </w:pict>
      </w:r>
    </w:p>
    <w:p w:rsidR="00B90289" w:rsidRDefault="00B90289" w:rsidP="00B90289">
      <w:pPr>
        <w:pStyle w:val="small"/>
      </w:pPr>
      <w:r>
        <w:t>A cost reimbursement contract allows for payment of all incurred costs, within a predetermined ceiling, that can be allocated to the contract, are</w:t>
      </w:r>
      <w:r w:rsidR="006D2A5E">
        <w:t xml:space="preserve"> </w:t>
      </w:r>
      <w:r>
        <w:t xml:space="preserve">allowable within cost standards, and reasonable. Therefore, all types of cost reimbursement contracts place the least cost and performance risk on the contractor. They basically only require the contract to use their "best effors" to complete the contract. However, this type of contract is required when the uncertainties of performance will not permit a fixed price to be estimated with sufficient accuracy to ensure a fair and reasonable price is obtained. For example, if a particular task has too much uncertainty and we ask a contractor to price it on a fixed price basis, they would build in contingency costs to allow for the unknowns and it would likely cost the Government much more money than if they could price it on a cost reimbursement basis. </w:t>
      </w:r>
    </w:p>
    <w:p w:rsidR="00B90289" w:rsidRDefault="00B90289" w:rsidP="00B90289">
      <w:pPr>
        <w:pStyle w:val="small"/>
      </w:pPr>
      <w:r>
        <w:t>Within the cost reimbursement category there are:</w:t>
      </w:r>
    </w:p>
    <w:p w:rsidR="00B90289" w:rsidRDefault="00B90289" w:rsidP="00B90289">
      <w:pPr>
        <w:numPr>
          <w:ilvl w:val="0"/>
          <w:numId w:val="2"/>
        </w:numPr>
        <w:spacing w:before="100" w:beforeAutospacing="1" w:after="100" w:afterAutospacing="1"/>
      </w:pPr>
      <w:r>
        <w:t>cost type - which involves payment of all incurred costs within a predetermined total estimated cost.</w:t>
      </w:r>
    </w:p>
    <w:p w:rsidR="00B90289" w:rsidRDefault="00B90289" w:rsidP="00B90289">
      <w:pPr>
        <w:numPr>
          <w:ilvl w:val="0"/>
          <w:numId w:val="2"/>
        </w:numPr>
        <w:spacing w:before="100" w:beforeAutospacing="1" w:after="100" w:afterAutospacing="1"/>
      </w:pPr>
      <w:r>
        <w:t>cost sharing - where the Government and the contractor agree to split the cost of performance in a predetermined manner. No fee is given.</w:t>
      </w:r>
    </w:p>
    <w:p w:rsidR="00B90289" w:rsidRDefault="00B90289" w:rsidP="00B90289">
      <w:pPr>
        <w:numPr>
          <w:ilvl w:val="0"/>
          <w:numId w:val="2"/>
        </w:numPr>
        <w:spacing w:before="100" w:beforeAutospacing="1" w:after="100" w:afterAutospacing="1"/>
      </w:pPr>
      <w:r>
        <w:t>cost-plus-fixed-fee - which allows for payment of all incurred costs within a predetermined amount plus an agreed upon fee which will not change.</w:t>
      </w:r>
    </w:p>
    <w:p w:rsidR="00B90289" w:rsidRDefault="00B90289" w:rsidP="00B90289">
      <w:pPr>
        <w:numPr>
          <w:ilvl w:val="0"/>
          <w:numId w:val="2"/>
        </w:numPr>
        <w:spacing w:before="100" w:beforeAutospacing="1" w:after="100" w:afterAutospacing="1"/>
      </w:pPr>
      <w:r>
        <w:t>cost-plus-incentive-fee - which provides for adjustment of the fee (either up or down) using a predetermined formula based on the total allowable costs in relation to total targeted costs.</w:t>
      </w:r>
    </w:p>
    <w:p w:rsidR="00B90289" w:rsidRDefault="00B90289" w:rsidP="00B90289">
      <w:pPr>
        <w:numPr>
          <w:ilvl w:val="0"/>
          <w:numId w:val="2"/>
        </w:numPr>
        <w:spacing w:before="100" w:beforeAutospacing="1" w:after="100" w:afterAutospacing="1"/>
      </w:pPr>
      <w:r>
        <w:t>cost-plus-award-fee - which provides for negotiation of a base fee with an award fee which can be given based upon a judgmental evaluation by the Government of contractor performance and cost control.</w:t>
      </w:r>
    </w:p>
    <w:p w:rsidR="00B90289" w:rsidRDefault="00240D75" w:rsidP="00B90289">
      <w:r>
        <w:pict>
          <v:rect id="_x0000_i1032" style="width:396pt;height:1.5pt" o:hralign="center" o:hrstd="t" o:hr="t" fillcolor="#a7a6aa" stroked="f"/>
        </w:pict>
      </w:r>
    </w:p>
    <w:p w:rsidR="00B90289" w:rsidRDefault="00B90289" w:rsidP="00B90289">
      <w:pPr>
        <w:pStyle w:val="small"/>
      </w:pPr>
      <w:r>
        <w:t>The latter two contract types require considerable monitoring by the program and contracting staff and are usually reserved for the larger dollar value, more visible procurements.</w:t>
      </w:r>
    </w:p>
    <w:p w:rsidR="00B90289" w:rsidRDefault="00240D75" w:rsidP="00B90289">
      <w:r>
        <w:pict>
          <v:rect id="_x0000_i1033" style="width:6in;height:1.5pt" o:hralign="center" o:hrstd="t" o:hr="t" fillcolor="#a7a6aa" stroked="f"/>
        </w:pict>
      </w:r>
    </w:p>
    <w:p w:rsidR="00B90289" w:rsidRDefault="00B90289" w:rsidP="00B90289">
      <w:pPr>
        <w:pStyle w:val="a508"/>
      </w:pPr>
      <w:r>
        <w:t>Other Types of Contracts</w:t>
      </w:r>
    </w:p>
    <w:p w:rsidR="00B90289" w:rsidRDefault="00240D75" w:rsidP="00B90289">
      <w:r>
        <w:pict>
          <v:rect id="_x0000_i1034" style="width:6in;height:1.5pt" o:hralign="center" o:hrstd="t" o:hr="t" fillcolor="#a7a6aa" stroked="f"/>
        </w:pict>
      </w:r>
    </w:p>
    <w:p w:rsidR="00B90289" w:rsidRDefault="00B90289" w:rsidP="00B90289">
      <w:pPr>
        <w:pStyle w:val="small"/>
      </w:pPr>
      <w:r>
        <w:rPr>
          <w:u w:val="single"/>
        </w:rPr>
        <w:t>Labor-Hour/Time and Materials</w:t>
      </w:r>
      <w:r>
        <w:t xml:space="preserve"> - this type of contract pays at fixed rates for services rendered and for materials at cost plus a handling fee.</w:t>
      </w:r>
    </w:p>
    <w:p w:rsidR="00B90289" w:rsidRDefault="00B90289" w:rsidP="00B90289">
      <w:pPr>
        <w:pStyle w:val="small"/>
      </w:pPr>
      <w:r>
        <w:rPr>
          <w:u w:val="single"/>
        </w:rPr>
        <w:t>Letter Contracts</w:t>
      </w:r>
      <w:r>
        <w:t xml:space="preserve"> - this type of contract is a preliminary instrument which permits a contractor to begin work when all of the contract terms and conditions have not been agreed upon. This type of contract is only used in circumstances of unusual and compelling urgency.</w:t>
      </w:r>
    </w:p>
    <w:p w:rsidR="00B90289" w:rsidRDefault="00B90289" w:rsidP="00B90289">
      <w:pPr>
        <w:pStyle w:val="small"/>
      </w:pPr>
      <w:r>
        <w:rPr>
          <w:u w:val="single"/>
        </w:rPr>
        <w:lastRenderedPageBreak/>
        <w:t>Indefinite Delivery Contracts</w:t>
      </w:r>
      <w:r>
        <w:t xml:space="preserve"> - there are three different types of indefinte delivery contracts -- definite quantity, indefinite quantity, and requirements. In general, these contracts provide for delivery of goods or services upon the issuance of a delivery or task order as needs arise.</w:t>
      </w:r>
    </w:p>
    <w:p w:rsidR="00B90289" w:rsidRDefault="00240D75" w:rsidP="00B90289">
      <w:r>
        <w:pict>
          <v:rect id="_x0000_i1035" style="width:6in;height:1.5pt" o:hralign="center" o:hrstd="t" o:hr="t" fillcolor="#a7a6aa" stroked="f"/>
        </w:pict>
      </w:r>
    </w:p>
    <w:p w:rsidR="00B90289" w:rsidRDefault="00B90289" w:rsidP="00B90289">
      <w:pPr>
        <w:pStyle w:val="small"/>
      </w:pPr>
      <w:r>
        <w:t>When conducting procurement planning, you should discuss your needs with your Contract Specialist to determine the contract type that will best suit your needs.</w:t>
      </w:r>
    </w:p>
    <w:p w:rsidR="00D810DF" w:rsidRDefault="00D810DF" w:rsidP="00D810DF"/>
    <w:p w:rsidR="00D810DF" w:rsidRPr="00D810DF" w:rsidRDefault="00D810DF" w:rsidP="00D810DF">
      <w:pPr>
        <w:rPr>
          <w:sz w:val="32"/>
        </w:rPr>
      </w:pPr>
      <w:r w:rsidRPr="00D810DF">
        <w:rPr>
          <w:sz w:val="32"/>
        </w:rPr>
        <w:t>Refferences:</w:t>
      </w:r>
    </w:p>
    <w:p w:rsidR="00D810DF" w:rsidRPr="00D810DF" w:rsidRDefault="00D810DF" w:rsidP="00D810DF">
      <w:pPr>
        <w:rPr>
          <w:sz w:val="32"/>
        </w:rPr>
      </w:pPr>
      <w:r w:rsidRPr="00D810DF">
        <w:rPr>
          <w:sz w:val="32"/>
        </w:rPr>
        <w:t>ihmhotelengineeringnotes.blogspot.com</w:t>
      </w:r>
    </w:p>
    <w:p w:rsidR="00D810DF" w:rsidRPr="00D810DF" w:rsidRDefault="00D810DF" w:rsidP="00D810DF">
      <w:pPr>
        <w:rPr>
          <w:sz w:val="32"/>
        </w:rPr>
      </w:pPr>
      <w:r w:rsidRPr="00D810DF">
        <w:rPr>
          <w:sz w:val="32"/>
        </w:rPr>
        <w:t>ihmhotelengineeringnotes.blogspot.com</w:t>
      </w:r>
    </w:p>
    <w:p w:rsidR="00D810DF" w:rsidRPr="00D810DF" w:rsidRDefault="00D810DF" w:rsidP="00D810DF">
      <w:pPr>
        <w:rPr>
          <w:sz w:val="32"/>
        </w:rPr>
      </w:pPr>
      <w:r w:rsidRPr="00D810DF">
        <w:rPr>
          <w:sz w:val="32"/>
        </w:rPr>
        <w:t>https://lecturenotes.in/m/21160-note-of-hotel-engineering-by-victor-agughasi</w:t>
      </w:r>
    </w:p>
    <w:p w:rsidR="00D810DF" w:rsidRPr="00D810DF" w:rsidRDefault="00D810DF" w:rsidP="00D810DF">
      <w:pPr>
        <w:rPr>
          <w:sz w:val="32"/>
        </w:rPr>
      </w:pPr>
      <w:r w:rsidRPr="00D810DF">
        <w:rPr>
          <w:sz w:val="32"/>
        </w:rPr>
        <w:t>ihmkolkata.blogspot.com/2013/04/ihm-kolkata.html</w:t>
      </w:r>
    </w:p>
    <w:p w:rsidR="00D810DF" w:rsidRPr="00D810DF" w:rsidRDefault="00D810DF" w:rsidP="00D810DF">
      <w:pPr>
        <w:rPr>
          <w:sz w:val="32"/>
        </w:rPr>
      </w:pPr>
      <w:r w:rsidRPr="00D810DF">
        <w:rPr>
          <w:sz w:val="32"/>
        </w:rPr>
        <w:t>Hotel Engineering - IHM PUSA</w:t>
      </w:r>
    </w:p>
    <w:p w:rsidR="00D810DF" w:rsidRPr="00D810DF" w:rsidRDefault="00D810DF" w:rsidP="00D810DF">
      <w:pPr>
        <w:rPr>
          <w:sz w:val="32"/>
        </w:rPr>
      </w:pPr>
      <w:r w:rsidRPr="00D810DF">
        <w:rPr>
          <w:sz w:val="32"/>
        </w:rPr>
        <w:t>ihmpusa.net › wp-content › uploads › 2016/12 › Hotel-Engineering-0</w:t>
      </w:r>
    </w:p>
    <w:p w:rsidR="00D810DF" w:rsidRPr="00D810DF" w:rsidRDefault="00D810DF" w:rsidP="00D810DF">
      <w:pPr>
        <w:rPr>
          <w:sz w:val="32"/>
        </w:rPr>
      </w:pPr>
      <w:r w:rsidRPr="00D810DF">
        <w:rPr>
          <w:sz w:val="32"/>
        </w:rPr>
        <w:t>https://www.newtondesk.com/refrigeration-and-air-conditioning-study-notes-hand-written/</w:t>
      </w:r>
    </w:p>
    <w:p w:rsidR="00D810DF" w:rsidRPr="00D810DF" w:rsidRDefault="00D810DF" w:rsidP="00D810DF">
      <w:pPr>
        <w:rPr>
          <w:sz w:val="32"/>
        </w:rPr>
      </w:pPr>
      <w:r w:rsidRPr="00D810DF">
        <w:rPr>
          <w:sz w:val="32"/>
        </w:rPr>
        <w:t>en.wikipedia.org/wiki/</w:t>
      </w:r>
    </w:p>
    <w:p w:rsidR="00D810DF" w:rsidRPr="00D810DF" w:rsidRDefault="00D810DF" w:rsidP="00D810DF">
      <w:pPr>
        <w:rPr>
          <w:sz w:val="32"/>
        </w:rPr>
      </w:pPr>
      <w:r w:rsidRPr="00D810DF">
        <w:rPr>
          <w:sz w:val="32"/>
        </w:rPr>
        <w:t>encyclopedia2.thefreedictionary.com</w:t>
      </w:r>
    </w:p>
    <w:p w:rsidR="00D810DF" w:rsidRPr="00D810DF" w:rsidRDefault="00D810DF" w:rsidP="00D810DF">
      <w:pPr>
        <w:rPr>
          <w:sz w:val="32"/>
        </w:rPr>
      </w:pPr>
      <w:r w:rsidRPr="00D810DF">
        <w:rPr>
          <w:sz w:val="32"/>
        </w:rPr>
        <w:t>www.kopykitab.com/Engineering</w:t>
      </w:r>
    </w:p>
    <w:p w:rsidR="00D810DF" w:rsidRPr="00D810DF" w:rsidRDefault="00D810DF" w:rsidP="00D810DF">
      <w:pPr>
        <w:rPr>
          <w:sz w:val="32"/>
        </w:rPr>
      </w:pPr>
      <w:r w:rsidRPr="00D810DF">
        <w:rPr>
          <w:sz w:val="32"/>
        </w:rPr>
        <w:t>www.faadooengineers.com/forums/112-Engineering-Ebooks.</w:t>
      </w:r>
    </w:p>
    <w:p w:rsidR="00D810DF" w:rsidRPr="00D810DF" w:rsidRDefault="00D810DF" w:rsidP="00D810DF">
      <w:pPr>
        <w:rPr>
          <w:sz w:val="32"/>
        </w:rPr>
      </w:pPr>
      <w:r w:rsidRPr="00D810DF">
        <w:rPr>
          <w:sz w:val="32"/>
        </w:rPr>
        <w:t xml:space="preserve">Hotel Engineering Robert F eilliot </w:t>
      </w:r>
    </w:p>
    <w:p w:rsidR="007E5D7B" w:rsidRPr="00D810DF" w:rsidRDefault="00D810DF" w:rsidP="00D810DF">
      <w:pPr>
        <w:rPr>
          <w:sz w:val="32"/>
        </w:rPr>
      </w:pPr>
      <w:r w:rsidRPr="00D810DF">
        <w:rPr>
          <w:sz w:val="32"/>
        </w:rPr>
        <w:t>Hotel Engineering Tarun Bansal</w:t>
      </w:r>
    </w:p>
    <w:sectPr w:rsidR="007E5D7B" w:rsidRPr="00D810DF" w:rsidSect="007E5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648"/>
    <w:multiLevelType w:val="multilevel"/>
    <w:tmpl w:val="7D56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E6506"/>
    <w:multiLevelType w:val="multilevel"/>
    <w:tmpl w:val="CD9E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89"/>
    <w:rsid w:val="00240D75"/>
    <w:rsid w:val="006D2A5E"/>
    <w:rsid w:val="007E5D7B"/>
    <w:rsid w:val="00B90289"/>
    <w:rsid w:val="00D67DBD"/>
    <w:rsid w:val="00D81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8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B9028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0289"/>
    <w:rPr>
      <w:rFonts w:ascii="Times New Roman" w:eastAsia="Times New Roman" w:hAnsi="Times New Roman" w:cs="Times New Roman"/>
      <w:b/>
      <w:bCs/>
      <w:sz w:val="36"/>
      <w:szCs w:val="36"/>
    </w:rPr>
  </w:style>
  <w:style w:type="paragraph" w:customStyle="1" w:styleId="small">
    <w:name w:val="small"/>
    <w:basedOn w:val="Normal"/>
    <w:rsid w:val="00B90289"/>
    <w:pPr>
      <w:spacing w:before="100" w:beforeAutospacing="1" w:after="100" w:afterAutospacing="1"/>
    </w:pPr>
  </w:style>
  <w:style w:type="paragraph" w:customStyle="1" w:styleId="a508">
    <w:name w:val="a508"/>
    <w:basedOn w:val="Normal"/>
    <w:rsid w:val="00B90289"/>
    <w:pPr>
      <w:spacing w:before="100" w:beforeAutospacing="1" w:after="100" w:afterAutospacing="1"/>
    </w:pPr>
  </w:style>
  <w:style w:type="table" w:customStyle="1" w:styleId="TableGrid1">
    <w:name w:val="Table Grid1"/>
    <w:basedOn w:val="TableNormal"/>
    <w:next w:val="TableGrid"/>
    <w:uiPriority w:val="59"/>
    <w:rsid w:val="00D67D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67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0D75"/>
    <w:rPr>
      <w:rFonts w:ascii="Tahoma" w:hAnsi="Tahoma" w:cs="Tahoma"/>
      <w:sz w:val="16"/>
      <w:szCs w:val="16"/>
    </w:rPr>
  </w:style>
  <w:style w:type="character" w:customStyle="1" w:styleId="BalloonTextChar">
    <w:name w:val="Balloon Text Char"/>
    <w:basedOn w:val="DefaultParagraphFont"/>
    <w:link w:val="BalloonText"/>
    <w:uiPriority w:val="99"/>
    <w:semiHidden/>
    <w:rsid w:val="00240D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8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B9028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0289"/>
    <w:rPr>
      <w:rFonts w:ascii="Times New Roman" w:eastAsia="Times New Roman" w:hAnsi="Times New Roman" w:cs="Times New Roman"/>
      <w:b/>
      <w:bCs/>
      <w:sz w:val="36"/>
      <w:szCs w:val="36"/>
    </w:rPr>
  </w:style>
  <w:style w:type="paragraph" w:customStyle="1" w:styleId="small">
    <w:name w:val="small"/>
    <w:basedOn w:val="Normal"/>
    <w:rsid w:val="00B90289"/>
    <w:pPr>
      <w:spacing w:before="100" w:beforeAutospacing="1" w:after="100" w:afterAutospacing="1"/>
    </w:pPr>
  </w:style>
  <w:style w:type="paragraph" w:customStyle="1" w:styleId="a508">
    <w:name w:val="a508"/>
    <w:basedOn w:val="Normal"/>
    <w:rsid w:val="00B90289"/>
    <w:pPr>
      <w:spacing w:before="100" w:beforeAutospacing="1" w:after="100" w:afterAutospacing="1"/>
    </w:pPr>
  </w:style>
  <w:style w:type="table" w:customStyle="1" w:styleId="TableGrid1">
    <w:name w:val="Table Grid1"/>
    <w:basedOn w:val="TableNormal"/>
    <w:next w:val="TableGrid"/>
    <w:uiPriority w:val="59"/>
    <w:rsid w:val="00D67D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67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0D75"/>
    <w:rPr>
      <w:rFonts w:ascii="Tahoma" w:hAnsi="Tahoma" w:cs="Tahoma"/>
      <w:sz w:val="16"/>
      <w:szCs w:val="16"/>
    </w:rPr>
  </w:style>
  <w:style w:type="character" w:customStyle="1" w:styleId="BalloonTextChar">
    <w:name w:val="Balloon Text Char"/>
    <w:basedOn w:val="DefaultParagraphFont"/>
    <w:link w:val="BalloonText"/>
    <w:uiPriority w:val="99"/>
    <w:semiHidden/>
    <w:rsid w:val="00240D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Admin</cp:lastModifiedBy>
  <cp:revision>2</cp:revision>
  <dcterms:created xsi:type="dcterms:W3CDTF">2020-06-20T05:49:00Z</dcterms:created>
  <dcterms:modified xsi:type="dcterms:W3CDTF">2020-06-20T05:49:00Z</dcterms:modified>
</cp:coreProperties>
</file>